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theme/theme1.xml" ContentType="application/vnd.openxmlformats-officedocument.theme+xml"/>
  <Default Extension="jpg" ContentType="image/jpg"/>
  <Default Extension="jpeg" ContentType="image/jpeg"/>
  <Default Extension="jp2" ContentType="image/jp2"/>
  <Default Extension="png" ContentType="image/png"/>
</Types>
</file>

<file path=_rels/.rels><?xml version="1.0" encoding="UTF-8" standalone="yes" ?>
<Relationships xmlns="http://schemas.openxmlformats.org/package/2006/relationships">
	<Relationship Id="rId1" Type="http://schemas.openxmlformats.org/officeDocument/2006/relationships/extended-properties" Target="docProps/app.xml"/>
	<Relationship Id="rId2" Type="http://schemas.openxmlformats.org/officeDocument/2006/relationships/metadata/core-properties" Target="docProps/core.xml"/>
	<Relationship Id="rId3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v="urn:schemas-microsoft-com:vml" xmlns:r="http://schemas.openxmlformats.org/officeDocument/2006/relationships" xmlns:o="urn:schemas-microsoft-com:office:office" xmlns:wp="http://schemas.openxmlformats.org/drawingml/2006/wordprocessingDrawing" xmlns:w10="urn:schemas-microsoft-com:office:word" xmlns:ve="http://schemas.openxmlformats.org/markup-compatibility/2006" xmlns:m="http://schemas.openxmlformats.org/officeDocument/2006/math" xmlns:wne="http://schemas.microsoft.com/office/word/2006/wordml" xml:space="preserve">
  <w:body>
    <w:bookmarkStart w:id="1" w:name="1"/>
    <w:bookmarkEnd w:id="1"/>
    <w:p>
      <w:pPr>
        <w:spacing w:before="0" w:after="0" w:line="176" w:lineRule="exact"/>
        <w:ind w:firstLine="0" w:left="0"/>
        <w:jc w:val="center"/>
        <w:rPr>
          <w:rFonts w:ascii="Microsoft YaHei" w:hAnsi="Microsoft YaHei" w:cs="Microsoft YaHei" w:eastAsia="Microsoft YaHei"/>
          <w:sz w:val="16"/>
          <w:szCs w:val="16"/>
          <w:color w:val="000000"/>
          <w:b/>
          <w:bCs/>
          <w:spacing w:val="79"/>
          <w:noProof/>
        </w:rPr>
      </w:pPr>
    </w:p>
    <w:p>
      <w:pPr>
        <w:spacing w:before="0" w:after="491" w:line="319" w:lineRule="exact"/>
        <w:ind w:firstLine="0" w:left="-2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79"/>
          <w:noProof/>
        </w:rPr>
      </w:pPr>
      <w:r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10"/>
          <w:noProof/>
        </w:rPr>
        <w:t>国有资产管理制度</w:t>
      </w:r>
    </w:p>
    <w:p>
      <w:pPr>
        <w:tabs>
          <w:tab w:val="left" w:pos="4793"/>
        </w:tabs>
        <w:spacing w:before="0" w:after="264" w:line="281" w:lineRule="exact"/>
        <w:ind w:firstLine="0" w:left="367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总则</w:t>
      </w:r>
    </w:p>
    <w:p>
      <w:pPr>
        <w:tabs>
          <w:tab w:val="left" w:pos="1908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为规范和加强单位国有资产管理，维护国有资产的安全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完整，合理配置和有效利用国有资产，保障和促进各项事业发展，根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据《行政单位国有资产管理暂行办法》《行政事业单位内部控制规范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（试行）》等规定，结合单位的实际情况，制定本制度。</w:t>
      </w:r>
    </w:p>
    <w:p>
      <w:pPr>
        <w:tabs>
          <w:tab w:val="left" w:pos="204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本制度所称国有资产，是指由本单位占有、使用的，依</w:t>
      </w:r>
    </w:p>
    <w:p>
      <w:pPr>
        <w:spacing w:before="0" w:after="266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法确认为国家所有、能以货币计量的各种经济资源的总称。包括本单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位用国家财政性资金形成的资产、国家调拨的资产、按照国家规定组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织收入形成的资产，以及接受捐赠和其他经法律确认为国家所有的资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产，其表现形式为流动资产、固定资产、无形资产和对外投资等。</w:t>
      </w:r>
    </w:p>
    <w:p>
      <w:pPr>
        <w:tabs>
          <w:tab w:val="left" w:pos="204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国有资产管理的内容包括：资产配置、资产使用、资产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处置、资产评估、资产清查、产权登记、产权纠纷调处、资产信息管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理、资产统计报告和监督检查等。</w:t>
      </w:r>
    </w:p>
    <w:p>
      <w:pPr>
        <w:tabs>
          <w:tab w:val="left" w:pos="204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国有资产管理活动应遵循以下原则：资产管理和预算管</w:t>
      </w:r>
    </w:p>
    <w:p>
      <w:pPr>
        <w:spacing w:before="0" w:after="264" w:line="281" w:lineRule="exact"/>
        <w:ind w:firstLine="0" w:left="0" w:right="18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2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理相结合；资产管理和财务管理相结合；实物管理和价值管理相结合。</w:t>
      </w:r>
    </w:p>
    <w:p>
      <w:pPr>
        <w:tabs>
          <w:tab w:val="left" w:pos="3950"/>
        </w:tabs>
        <w:spacing w:before="0" w:after="264" w:line="281" w:lineRule="exact"/>
        <w:ind w:firstLine="0" w:left="282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管理机构及其职责</w:t>
      </w:r>
    </w:p>
    <w:p>
      <w:pPr>
        <w:tabs>
          <w:tab w:val="left" w:pos="204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本单位国有资产管理实行“统一负责、分工协作”的管</w:t>
      </w:r>
    </w:p>
    <w:p>
      <w:pPr>
        <w:spacing w:before="0" w:after="264" w:line="281" w:lineRule="exact"/>
        <w:ind w:firstLine="0" w:left="0" w:right="18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2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理机制，具体划分为决策机构、归口管理机构、执行机构、监督机构。</w:t>
      </w:r>
    </w:p>
    <w:p>
      <w:pPr>
        <w:tabs>
          <w:tab w:val="left" w:pos="204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本单位的资产管理决策机构其主要职责为：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（一）审议、决策单位的国有资产管理制度、具体办法；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（二）审议、决策单位用于对外投资、担保、出租、出借等处置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方式申请；</w:t>
      </w:r>
    </w:p>
    <w:p>
      <w:pPr>
        <w:spacing w:before="0" w:after="264" w:line="281" w:lineRule="exact"/>
        <w:ind w:firstLine="0" w:left="0" w:right="2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（三）听取单位年度资产占有、使用、变动、处置等汇报情况。</w:t>
      </w:r>
    </w:p>
    <w:p>
      <w:pPr>
        <w:tabs>
          <w:tab w:val="left" w:pos="2076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5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7"/>
          <w:noProof/>
        </w:rPr>
        <w:t>本单位的资产管理归口机构亦是国有资产实物管理部</w:t>
      </w:r>
    </w:p>
    <w:p>
      <w:pPr>
        <w:spacing w:before="0" w:after="0" w:line="164" w:lineRule="exact"/>
        <w:ind w:firstLine="0" w:left="917"/>
        <w:jc w:val="left"/>
        <w:rPr>
          <w:rFonts w:ascii="Microsoft YaHei" w:hAnsi="Microsoft YaHei" w:cs="Microsoft YaHei" w:eastAsia="Microsoft YaHei"/>
          <w:sz w:val="16"/>
          <w:szCs w:val="16"/>
          <w:color w:val="000000"/>
          <w:b/>
          <w:bCs/>
          <w:spacing w:val="79"/>
          <w:noProof/>
        </w:r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1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2" w:name="2"/>
    <w:bookmarkEnd w:id="2"/>
    <w:p>
      <w:pPr>
        <w:spacing w:before="4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门，其主要职责为：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（一）组织拟订单位的国有资产管理制度并督导执行；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（二）负责资产购置管理，统一编制配置计划、资产购置预算并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上报审核；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（三）负责资产账卡管理、入库管理、清查登记、编报资产年报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等实物档案资料管理工作；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（四）统一办理本单位国有资产处置相关的报批手续；包括单位</w:t>
      </w:r>
    </w:p>
    <w:p>
      <w:pPr>
        <w:spacing w:before="0" w:after="264" w:line="281" w:lineRule="exact"/>
        <w:ind w:firstLine="0" w:left="0" w:right="18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2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对外投资、担保、出租和出借资产的保值增值工作，并按照规定及时、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足额缴纳国有资产收益；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（五）统一管理本单位存量资产的有效利用，参与大型仪器、设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备等资产的共享、共用和公共研究平台建设工作；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（六）对本单位资产进行定期清查、不定期检查，向资产决策击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鼓汇报资产清查情况，提出盘点（盈亏报废等）处理建议；</w:t>
      </w:r>
    </w:p>
    <w:p>
      <w:pPr>
        <w:tabs>
          <w:tab w:val="left" w:pos="2040"/>
        </w:tabs>
        <w:spacing w:before="0" w:after="266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本单位的国有资产价值管理机构，其主要职责为：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（一）建立健全资产核算制度，设立资产明细账、做好资产计量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与折旧、摊销管理工作。</w:t>
      </w:r>
    </w:p>
    <w:p>
      <w:pPr>
        <w:spacing w:before="0" w:after="261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（二）及时受理资产归口部门、资产使用部门提出的关于资产购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置、处置、清查管理环节的用款计划和资金支付审请的报审程序，还</w:t>
      </w:r>
    </w:p>
    <w:p>
      <w:pPr>
        <w:spacing w:before="0" w:after="266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包含资产处置收益、盘盈/盘亏的财务处理并审核对应的财务手续；</w:t>
      </w:r>
    </w:p>
    <w:p>
      <w:pPr>
        <w:spacing w:before="0" w:after="261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（三）积极参与并配合资产清查盘点工作，及时准确为资产归口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部门提供国有资产财务账面信息，以便资产归口部门完整、准确编制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资产年度报告。</w:t>
      </w:r>
    </w:p>
    <w:p>
      <w:pPr>
        <w:tabs>
          <w:tab w:val="left" w:pos="204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本单位的资产管理执行机构亦是资产使用主体，其主要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职责为：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（一）负责本部门内部资产的保管、保养与维护等，保证资产的</w:t>
      </w:r>
    </w:p>
    <w:p>
      <w:pPr>
        <w:spacing w:before="0" w:after="0" w:line="565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917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7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2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3" w:name="3"/>
    <w:bookmarkEnd w:id="3"/>
    <w:p>
      <w:pPr>
        <w:spacing w:before="4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安全和完整；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（二）正确使用资产及其卡片信息，及时反馈资产的使用状况并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报修；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（三）积极参与并配合资产的验收、清查盘点、移交等工作，负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责对本部门流失资产的追缴及遗留问题的处理。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（四）职工调离本部门时，须办理设备、设施移交手续，将所领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用资产交至部门负责人。</w:t>
      </w:r>
    </w:p>
    <w:p>
      <w:pPr>
        <w:tabs>
          <w:tab w:val="left" w:pos="204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本单位的监督机构其主要职责为：依法对国有资产管理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行为实施监督，发现国有资产管理当事人有违规违法行为的，应及时</w:t>
      </w:r>
    </w:p>
    <w:p>
      <w:pPr>
        <w:spacing w:before="0" w:after="39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通报资产归口管理部门，并按照有关规定依法处理。</w:t>
      </w:r>
    </w:p>
    <w:p>
      <w:pPr>
        <w:tabs>
          <w:tab w:val="left" w:pos="4162"/>
        </w:tabs>
        <w:spacing w:before="0" w:after="343" w:line="281" w:lineRule="exact"/>
        <w:ind w:firstLine="0" w:left="317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货币资金管理</w:t>
      </w:r>
    </w:p>
    <w:p>
      <w:pPr>
        <w:tabs>
          <w:tab w:val="left" w:pos="2182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货币资金包括现金、银行存款及其他货币资金。</w:t>
      </w:r>
    </w:p>
    <w:p>
      <w:pPr>
        <w:tabs>
          <w:tab w:val="left" w:pos="2189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根据《现金管理暂行条例》的规定,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凡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9"/>
          <w:noProof/>
        </w:rPr>
        <w:t>1000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6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元以上大</w:t>
      </w:r>
    </w:p>
    <w:p>
      <w:pPr>
        <w:spacing w:before="0" w:after="343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额现金开支，必须使用转账支票予以结算。如确有特殊情况需要支取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现金的，必须按照有关规定程序要求办理。</w:t>
      </w:r>
    </w:p>
    <w:p>
      <w:pPr>
        <w:tabs>
          <w:tab w:val="left" w:pos="2189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3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加强现金日常管理。现金收入及时存入银行，不得以</w:t>
      </w:r>
    </w:p>
    <w:p>
      <w:pPr>
        <w:spacing w:before="0" w:after="343" w:line="281" w:lineRule="exact"/>
        <w:ind w:firstLine="0" w:left="0" w:right="18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2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白条抵库，不得坐支现金，严禁挪用现金、私设“小金库”和账外账。</w:t>
      </w:r>
    </w:p>
    <w:p>
      <w:pPr>
        <w:tabs>
          <w:tab w:val="left" w:pos="2215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4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4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7"/>
          <w:noProof/>
        </w:rPr>
        <w:t>出纳到银行提存现金数额较大时,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应由两人以上同去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并派车前往，以保证现金和人身安全。</w:t>
      </w:r>
    </w:p>
    <w:p>
      <w:pPr>
        <w:tabs>
          <w:tab w:val="left" w:pos="2189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3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建立库存现金的盘存制度，保证账实相符。出纳要及</w:t>
      </w:r>
    </w:p>
    <w:p>
      <w:pPr>
        <w:spacing w:before="0" w:after="343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时登记现金日记账，做到日清月结，并进行定期和不定期盘点，确保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2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现金账面余额与实际库存额相符。发现不符，应查明原因，及时处理。</w:t>
      </w:r>
    </w:p>
    <w:p>
      <w:pPr>
        <w:tabs>
          <w:tab w:val="left" w:pos="2182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出纳应定期核对银行账户,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编制银行存款余额调节表，</w:t>
      </w:r>
    </w:p>
    <w:p>
      <w:pPr>
        <w:spacing w:before="0" w:after="0" w:line="493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343" w:line="281" w:lineRule="exact"/>
        <w:ind w:firstLine="0" w:left="917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3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4" w:name="4"/>
    <w:bookmarkEnd w:id="4"/>
    <w:p>
      <w:pPr>
        <w:spacing w:before="0" w:after="0" w:line="172" w:lineRule="exact"/>
        <w:ind w:firstLine="0" w:left="0"/>
        <w:jc w:val="center"/>
        <w:rPr>
          <w:rFonts w:ascii="Microsoft YaHei" w:hAnsi="Microsoft YaHei" w:cs="Microsoft YaHei" w:eastAsia="Microsoft YaHei"/>
          <w:sz w:val="16"/>
          <w:szCs w:val="16"/>
          <w:color w:val="000000"/>
          <w:spacing w:val="-90"/>
          <w:noProof/>
        </w:rPr>
      </w:pPr>
    </w:p>
    <w:p>
      <w:pPr>
        <w:spacing w:before="0" w:after="343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使银行存款账面余额与银行对账单调节相符。如调节不符，应查明原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因，及时处理。</w:t>
      </w:r>
    </w:p>
    <w:p>
      <w:pPr>
        <w:tabs>
          <w:tab w:val="left" w:pos="2189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3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严格按照《支付结算办法》及财政部门的有关规定，</w:t>
      </w:r>
    </w:p>
    <w:p>
      <w:pPr>
        <w:spacing w:before="0" w:after="343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加强银行账户的管理，严格按照财政部门规定开立账户，规范办理存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款、取款和结算。不得违反规定开立和使用多头账户。</w:t>
      </w:r>
    </w:p>
    <w:p>
      <w:pPr>
        <w:tabs>
          <w:tab w:val="left" w:pos="2189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4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单位严格按照相关文件的要求使用银行账户，并自觉</w:t>
      </w:r>
    </w:p>
    <w:p>
      <w:pPr>
        <w:spacing w:before="0" w:after="343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接受财政部门、业务主管部门、监察部门、审计部门在各自职责范围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内对本单位银行账户的监督管理。</w:t>
      </w:r>
    </w:p>
    <w:p>
      <w:pPr>
        <w:tabs>
          <w:tab w:val="left" w:pos="4162"/>
        </w:tabs>
        <w:spacing w:before="0" w:after="343" w:line="281" w:lineRule="exact"/>
        <w:ind w:firstLine="0" w:left="317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财务印章管理</w:t>
      </w:r>
    </w:p>
    <w:p>
      <w:pPr>
        <w:tabs>
          <w:tab w:val="left" w:pos="2189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3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7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印章保管人员应严格照章用印，建立并登记印章登记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簿。</w:t>
      </w:r>
    </w:p>
    <w:p>
      <w:pPr>
        <w:tabs>
          <w:tab w:val="left" w:pos="2189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3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第二十条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财务印章的保管应贯彻不相容岗位职责相分离原则，</w:t>
      </w:r>
    </w:p>
    <w:p>
      <w:pPr>
        <w:spacing w:before="0" w:after="343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办理资金支付业务的相关印章和票据严禁集中一人保管，印章与空白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支票分开保管，财务专用章与法人代表名章分开保管。</w:t>
      </w:r>
    </w:p>
    <w:p>
      <w:pPr>
        <w:tabs>
          <w:tab w:val="left" w:pos="2472"/>
        </w:tabs>
        <w:spacing w:before="0" w:after="343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3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>第二十一条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0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  <w:t>用印盖章位置应准确、恰当，印迹要端正清晰，印</w:t>
      </w:r>
    </w:p>
    <w:p>
      <w:pPr>
        <w:spacing w:before="0" w:after="343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章的名称与用印的落款要一致，不漏盖、不多盖。介绍信、便函、授</w:t>
      </w:r>
    </w:p>
    <w:p>
      <w:pPr>
        <w:spacing w:before="0" w:after="343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权委托书要有存根，不得在空白介绍信、空白便函、空白证件、空白</w:t>
      </w:r>
    </w:p>
    <w:p>
      <w:pPr>
        <w:spacing w:before="0" w:after="21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授权委托书上用印。</w:t>
      </w:r>
    </w:p>
    <w:p>
      <w:pPr>
        <w:tabs>
          <w:tab w:val="left" w:pos="4512"/>
        </w:tabs>
        <w:spacing w:before="0" w:after="264" w:line="281" w:lineRule="exact"/>
        <w:ind w:firstLine="0" w:left="338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资产配置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本单位国有固定资产的配置坚持调剂优先、推行资</w:t>
      </w:r>
    </w:p>
    <w:p>
      <w:pPr>
        <w:spacing w:before="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产整合与共享共用。实行“先申报资产配置计划，再编制配置预算，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最后编制政府采购预算”的工作程序。</w:t>
      </w:r>
    </w:p>
    <w:p>
      <w:pPr>
        <w:spacing w:before="0" w:after="264" w:line="281" w:lineRule="exact"/>
        <w:ind w:firstLine="0" w:left="0" w:right="2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国有资产配置标准严格按照相关文件规定的资产配置标准执行；</w:t>
      </w:r>
    </w:p>
    <w:p>
      <w:pPr>
        <w:spacing w:before="0" w:after="0" w:line="226" w:lineRule="exact"/>
        <w:ind w:firstLine="0" w:left="0"/>
        <w:jc w:val="right"/>
        <w:rPr>
          <w:rFonts w:ascii="Microsoft YaHei" w:hAnsi="Microsoft YaHei" w:cs="Microsoft YaHei" w:eastAsia="Microsoft YaHei"/>
          <w:sz w:val="22"/>
          <w:szCs w:val="22"/>
          <w:color w:val="000000"/>
          <w:spacing w:val="-90"/>
          <w:noProof/>
        </w:rPr>
      </w:pPr>
    </w:p>
    <w:p>
      <w:pPr>
        <w:spacing w:before="0" w:after="264" w:line="281" w:lineRule="exact"/>
        <w:ind w:firstLine="0" w:left="917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4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5" w:name="5"/>
    <w:bookmarkEnd w:id="5"/>
    <w:p>
      <w:pPr>
        <w:spacing w:before="40" w:after="264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没有规定配置标准的，应当从单位实际出发，合理配置，从严把握。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本单位申请用财政性资金购置资产的，除国家另有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规定外，按照下列程序报批：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3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具体操作流程详见《资产管理流程》。资产配置计划批复通知作为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资产购置预算编报的依据。若资产配置计划未经批准，资产归口机构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不得列入单位预算，财务部门也不得列入单位经费支出。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对上级主管部门直接配置、调拨、奖励的资产和接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受捐赠的资产以及其他依法确认为国家所有的资产，由资产归口管理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部门统一办理产权登记等相关程序并根据各业务部门存量资产质量、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结构和分布使用情况进行合理分配、使用。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资产执行机构申请使用追加预算、各类专项资金等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19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7"/>
          <w:noProof/>
        </w:rPr>
        <w:t>财政性资金购置资产的，以及本单位资产购置计划在年度预算执行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中，因特殊原因，资产购置项目发生变更的，遵照第十一条规定程序</w:t>
      </w:r>
    </w:p>
    <w:p>
      <w:pPr>
        <w:spacing w:before="0" w:after="266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报批。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本单位购置纳入政府采购范围的资产，必须依法实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施政府采购。</w:t>
      </w:r>
    </w:p>
    <w:p>
      <w:pPr>
        <w:tabs>
          <w:tab w:val="left" w:pos="3950"/>
        </w:tabs>
        <w:spacing w:before="0" w:after="261" w:line="281" w:lineRule="exact"/>
        <w:ind w:firstLine="0" w:left="282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资产的确认与计量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国有资产的价值以取得时实际成本进行计量，财务</w:t>
      </w:r>
    </w:p>
    <w:p>
      <w:pPr>
        <w:spacing w:before="0" w:after="266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部门不得自行调整其账面价值。</w:t>
      </w:r>
    </w:p>
    <w:p>
      <w:pPr>
        <w:tabs>
          <w:tab w:val="left" w:pos="2602"/>
        </w:tabs>
        <w:spacing w:before="0" w:after="261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财务部门在进行单位资产价值确认时，应当严格遵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2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照《政府会计准则第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0"/>
          <w:noProof/>
        </w:rPr>
        <w:t>3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2"/>
          <w:noProof/>
        </w:rPr>
        <w:t>号——固定资产》、《政府会计准则第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0"/>
          <w:noProof/>
        </w:rPr>
        <w:t>4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7"/>
          <w:noProof/>
        </w:rPr>
        <w:t>号——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24"/>
          <w:noProof/>
        </w:rPr>
        <w:t>无形资产》、《政府会计准则第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8"/>
          <w:noProof/>
        </w:rPr>
        <w:t>1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号——存货》规定确认入账和成本核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算。</w:t>
      </w:r>
    </w:p>
    <w:p>
      <w:pPr>
        <w:tabs>
          <w:tab w:val="left" w:pos="4613"/>
        </w:tabs>
        <w:spacing w:before="0" w:after="264" w:line="281" w:lineRule="exact"/>
        <w:ind w:firstLine="0" w:left="349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资产使用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资产归口部门应严格履行国家层面、省级、上级主</w:t>
      </w:r>
    </w:p>
    <w:p>
      <w:pPr>
        <w:spacing w:before="0" w:after="0" w:line="565" w:lineRule="exact"/>
        <w:ind w:firstLine="0" w:left="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</w:p>
    <w:p>
      <w:pPr>
        <w:spacing w:before="0" w:after="264" w:line="281" w:lineRule="exact"/>
        <w:ind w:firstLine="0" w:left="917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5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6" w:name="6"/>
    <w:bookmarkEnd w:id="6"/>
    <w:p>
      <w:pPr>
        <w:spacing w:before="4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管部门关于国有资产使用管理规定，认真做好本单位国有资产的使用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管理工作，规范国有资产使用行为，充分发挥国有资产的使用效益，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保障国有资产安全完整，防止国有资产使用中的不当损失和浪费。</w:t>
      </w:r>
    </w:p>
    <w:p>
      <w:pPr>
        <w:tabs>
          <w:tab w:val="left" w:pos="2321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在国有资产配置完成、价值入账后，资产归口部门应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当对新进国有资产进行分类整理，建立台账、分类明细账和固定资产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卡片或者将资产信息录入资产管理系统，并积极组织内部各业务部门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领用资产，参与使用。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各业务部门在资产使用过程中，对资产的安全、完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整性、日常保管负全部责任；并依据资产使用情况，依据实际提出维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修申请，申报至资产归口部门。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本单位若利用国有资产对外投资，资产归口部门应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当严格按照要求执行相关规定，履行报批程序。</w:t>
      </w:r>
    </w:p>
    <w:p>
      <w:pPr>
        <w:tabs>
          <w:tab w:val="left" w:pos="2602"/>
        </w:tabs>
        <w:spacing w:before="0" w:after="261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3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1"/>
          <w:noProof/>
        </w:rPr>
        <w:t>本单位出租、出借的国有资产，其所有权性质不变，</w:t>
      </w:r>
    </w:p>
    <w:p>
      <w:pPr>
        <w:spacing w:before="0" w:after="266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仍归国家所有；所形成的收入，按照政府非税收入管理的规定，实行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“收支两条线”管理。</w:t>
      </w:r>
    </w:p>
    <w:p>
      <w:pPr>
        <w:tabs>
          <w:tab w:val="left" w:pos="4512"/>
        </w:tabs>
        <w:spacing w:before="0" w:after="264" w:line="281" w:lineRule="exact"/>
        <w:ind w:firstLine="0" w:left="338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资产处置</w:t>
      </w:r>
    </w:p>
    <w:p>
      <w:pPr>
        <w:tabs>
          <w:tab w:val="left" w:pos="2602"/>
        </w:tabs>
        <w:spacing w:before="0" w:after="261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本单位的国有资产处置管理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-46"/>
          <w:noProof/>
        </w:rPr>
        <w:t>，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由资产管归口理部门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根据资产实际情况统一汇总提出处置建议，并提出处置申请，报批后</w:t>
      </w:r>
    </w:p>
    <w:p>
      <w:pPr>
        <w:spacing w:before="0" w:after="266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按规定执行处置。</w:t>
      </w:r>
    </w:p>
    <w:p>
      <w:pPr>
        <w:tabs>
          <w:tab w:val="left" w:pos="2602"/>
        </w:tabs>
        <w:spacing w:before="0" w:after="261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闲置资产及申请报废的资产，资产使用部门应保证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其完整性（包括配套设备、技术资料等），未经审核批准，不得私自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自行处理。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资产处置应遵循以下程序：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具体操作流程详见《资产管理流程》。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本单位国有资产处置收入，包括出售收入，置换收</w:t>
      </w:r>
    </w:p>
    <w:p>
      <w:pPr>
        <w:spacing w:before="0" w:after="0" w:line="565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6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7" w:name="7"/>
    <w:bookmarkEnd w:id="7"/>
    <w:p>
      <w:pPr>
        <w:spacing w:before="4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入，转让收入，报损报废的残值变价收入，对外投资收益以及利用国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有资产出租、出借和担保等取得的收入，以挂靠、挂名等名义举办经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济实体获得的收益等，均属国家所有，应严格遵照政府非税收入管理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6"/>
          <w:noProof/>
        </w:rPr>
        <w:t>规定，全额上缴同级财政国库，实行“收支两条线”。</w:t>
      </w:r>
    </w:p>
    <w:p>
      <w:pPr>
        <w:tabs>
          <w:tab w:val="left" w:pos="3809"/>
        </w:tabs>
        <w:spacing w:before="0" w:after="264" w:line="281" w:lineRule="exact"/>
        <w:ind w:firstLine="0" w:left="2686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资产评估和资产清查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资产归口管理部门在组织，执行单位内部资产处置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时，其处置方式为以下情形的，应当进行资产评估。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（一）以非货币性资产对外投资；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（二）资产拍卖、转让、置换；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（三）整体或者部分资产租赁给非国有单位；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（四）法律、行政法规规定的其他需要进行评估的事项。</w:t>
      </w:r>
    </w:p>
    <w:p>
      <w:pPr>
        <w:tabs>
          <w:tab w:val="left" w:pos="2321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3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本单位国有资产管理存在以下情形之一的，可不进行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资产评估：</w:t>
      </w:r>
    </w:p>
    <w:p>
      <w:pPr>
        <w:spacing w:before="0" w:after="266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（一）经批准，本单位有整体或者部分资产无偿划转；</w:t>
      </w: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（二）本单位与本行业系统内其他事业单位之间的合并、资产划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转、置换和转让；</w:t>
      </w:r>
    </w:p>
    <w:p>
      <w:pPr>
        <w:spacing w:before="0" w:after="261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（三）发生其他不影响国有资产权益的特殊产权变动行为，报经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上级主管部门确认可以不进行资产评估的。</w:t>
      </w:r>
    </w:p>
    <w:p>
      <w:pPr>
        <w:tabs>
          <w:tab w:val="left" w:pos="2602"/>
        </w:tabs>
        <w:spacing w:before="0" w:after="266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资产归口管理部门在组织，执行国有资产评估工作</w:t>
      </w:r>
    </w:p>
    <w:p>
      <w:pPr>
        <w:spacing w:before="0" w:after="26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前，应委托具有资产评估资质的评估机构并如实向资产评估机构提供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有关情况和资料，并对所提供的情况和资料的客观性、真实性和合法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性负责，且不得以任何形式干预资产评估机构独立执业。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本单位每年至少进行一次资产盘点清查，盘点清查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7"/>
          <w:noProof/>
        </w:rPr>
        <w:t>程序如下：具体操作流程详见《资产管理流程》。</w:t>
      </w:r>
    </w:p>
    <w:p>
      <w:pPr>
        <w:spacing w:before="0" w:after="0" w:line="300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</w:p>
    <w:p>
      <w:pPr>
        <w:spacing w:before="0" w:after="0" w:line="300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</w:p>
    <w:p>
      <w:pPr>
        <w:spacing w:before="0" w:after="0" w:line="510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42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7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8" w:name="8"/>
    <w:bookmarkEnd w:id="8"/>
    <w:p>
      <w:pPr>
        <w:tabs>
          <w:tab w:val="left" w:pos="3809"/>
        </w:tabs>
        <w:spacing w:before="40" w:after="264" w:line="281" w:lineRule="exact"/>
        <w:ind w:firstLine="0" w:left="2686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产权登记与纠纷调处</w:t>
      </w:r>
    </w:p>
    <w:p>
      <w:pPr>
        <w:tabs>
          <w:tab w:val="left" w:pos="265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第四十三条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7"/>
          <w:noProof/>
        </w:rPr>
        <w:t>资产归口管理部门应严格按照文件要求对本单位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国有资产进行产权登记，并申请办理产权登记年度检查。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本单位与其他行政事业单位之间的产权纠纷，由当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事人协商解决。协商不能解决的，由上级主管部门、财政部门或者同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级政府调解、裁定。</w:t>
      </w:r>
    </w:p>
    <w:p>
      <w:pPr>
        <w:tabs>
          <w:tab w:val="left" w:pos="2650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第四十五条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7"/>
          <w:noProof/>
        </w:rPr>
        <w:t>本单位与其他国有单位之间发生国有资产产权纠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纷的，由当事人协商解决。协商不能解决的，可以向主管部门、同级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或者共同上一级财政部门申请调解或者裁定，必要时报有管辖权的人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民政府处理。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8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本单位与非国有单位或者个人之间发生产权纠纷的，本单位应当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提出拟处理意见，经主管部门审核并报同级财政部门批准后，与对方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当事人协商解决。协商不能解决的，依照司法程序处理。</w:t>
      </w:r>
    </w:p>
    <w:p>
      <w:pPr>
        <w:tabs>
          <w:tab w:val="left" w:pos="3950"/>
        </w:tabs>
        <w:spacing w:before="0" w:after="266" w:line="281" w:lineRule="exact"/>
        <w:ind w:firstLine="0" w:left="2546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资产信息管理与报告</w:t>
      </w:r>
    </w:p>
    <w:p>
      <w:pPr>
        <w:tabs>
          <w:tab w:val="left" w:pos="265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第四十六条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资产归口管理部门积极响应外部政策中有关国有</w:t>
      </w:r>
    </w:p>
    <w:p>
      <w:pPr>
        <w:spacing w:before="0" w:after="264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资产管理信息化的要求，及时将本单位内部资产变动信息录入管理信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息系统，实行动态管理，积极做好国有资产统计和信息报告工作。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年度终了，资产归口管理部门要积极组织资产年报</w:t>
      </w:r>
    </w:p>
    <w:p>
      <w:pPr>
        <w:spacing w:before="0" w:after="266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37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2"/>
          <w:noProof/>
        </w:rPr>
        <w:t>编报工作，严格按照《行政事业单位国有资产年度报告管理办法》（财</w:t>
      </w:r>
    </w:p>
    <w:p>
      <w:pPr>
        <w:spacing w:before="0" w:after="261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资〔2017〕3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6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号）的要求，报送国有资产年度报告，应当做到真实、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准确、及时、完整，并对国有资产占有、使用、变动、处置等情况做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出文字分析说明。</w:t>
      </w:r>
    </w:p>
    <w:p>
      <w:pPr>
        <w:tabs>
          <w:tab w:val="left" w:pos="3950"/>
        </w:tabs>
        <w:spacing w:before="0" w:after="264" w:line="281" w:lineRule="exact"/>
        <w:ind w:firstLine="0" w:left="2546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第十二章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监督检查和法律责任</w:t>
      </w:r>
    </w:p>
    <w:p>
      <w:pPr>
        <w:tabs>
          <w:tab w:val="left" w:pos="2592"/>
        </w:tabs>
        <w:spacing w:before="0" w:after="264" w:line="281" w:lineRule="exact"/>
        <w:ind w:firstLine="0" w:left="90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本单位及其工作人员，应当依法维护国有资产的安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全完整，提高国有资产使用效益。</w:t>
      </w:r>
    </w:p>
    <w:p>
      <w:pPr>
        <w:spacing w:before="0" w:after="0" w:line="565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9"/>
          <w:noProof/>
        </w:rPr>
      </w:pP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8</w:t>
      </w:r>
    </w:p>
    <w:p>
      <w:pPr>
        <w:spacing w:before="0" w:after="130" w:line="180" w:lineRule="exact"/>
        <w:ind w:firstLine="0" w:left="4466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5" w:left="1440" w:header="708" w:footer="708" w:gutter="0"/>
          <w:docGrid w:type="" w:linePitch="0"/>
        </w:sectPr>
      </w:pPr>
    </w:p>
    <w:bookmarkStart w:id="9" w:name="9"/>
    <w:bookmarkEnd w:id="9"/>
    <w:p>
      <w:pPr>
        <w:tabs>
          <w:tab w:val="left" w:pos="2592"/>
        </w:tabs>
        <w:spacing w:before="40" w:after="264" w:line="281" w:lineRule="exact"/>
        <w:ind w:firstLine="0" w:left="90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本单位及其工作人员违反相关规定，擅自占有、使</w:t>
      </w:r>
    </w:p>
    <w:p>
      <w:pPr>
        <w:spacing w:before="0" w:after="264" w:line="281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8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用、处置国有资产的，以及在上缴、管理国有资产收益，或者下拨财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政资金时，违反相关规定的，按照《财政违法行为处罚处分条例》处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理。</w:t>
      </w:r>
    </w:p>
    <w:p>
      <w:pPr>
        <w:spacing w:before="0" w:after="264" w:line="281" w:lineRule="exact"/>
        <w:ind w:firstLine="0" w:left="0" w:right="32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7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违反国家国有资产管理规定的其他行为，按国家有关法律、法规</w:t>
      </w:r>
    </w:p>
    <w:p>
      <w:pPr>
        <w:spacing w:before="0" w:after="264" w:line="281" w:lineRule="exact"/>
        <w:ind w:firstLine="0" w:left="35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及规章制度进行处理。</w:t>
      </w:r>
    </w:p>
    <w:p>
      <w:pPr>
        <w:tabs>
          <w:tab w:val="left" w:pos="4932"/>
        </w:tabs>
        <w:spacing w:before="0" w:after="264" w:line="281" w:lineRule="exact"/>
        <w:ind w:firstLine="0" w:left="352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第十三章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附则</w:t>
      </w:r>
    </w:p>
    <w:p>
      <w:pPr>
        <w:tabs>
          <w:tab w:val="left" w:pos="2309"/>
        </w:tabs>
        <w:spacing w:before="0" w:after="264" w:line="281" w:lineRule="exact"/>
        <w:ind w:firstLine="0" w:left="90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本制度由资产归口管理部门负责解释。</w:t>
      </w:r>
    </w:p>
    <w:p>
      <w:pPr>
        <w:tabs>
          <w:tab w:val="left" w:pos="2602"/>
        </w:tabs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本制度自印发之日起施行。</w:t>
      </w: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300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0" w:line="579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84"/>
          <w:noProof/>
        </w:rPr>
      </w:pPr>
    </w:p>
    <w:p>
      <w:pPr>
        <w:spacing w:before="0" w:after="264" w:line="281" w:lineRule="exact"/>
        <w:ind w:firstLine="0" w:left="917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6" w:h="16838"/>
          <w:pgMar w:top="1440" w:right="1440" w:bottom="865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9</w:t>
      </w:r>
    </w:p>
    <w:sectPr>
      <w:type w:val="continuous"/>
      <w:pgSz w:w="11906" w:h="16838"/>
      <w:pgMar w:top="1440" w:right="1440" w:bottom="865" w:left="1440" w:header="708" w:footer="708" w:gutter="0"/>
      <w:docGrid w:type="" w:linePitch="0"/>
    </w:sectPr>
    <w:docPr>
      <w:view w:val="page"/>
      <w:zoom w:percent="120"/>
    </w:doc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itch w:val="variable"/>
    <w:altName w:val="Times New Roman"/>
    <w:charset w:val="0"/>
    <w:family w:val="roman"/>
  </w:font>
  <w:font w:name="Arial">
    <w:pitch w:val="variable"/>
    <w:altName w:val="Arial"/>
    <w:charset w:val="0"/>
    <w:family w:val="swiss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>
      <w:useFELayout/>
    </w:ulTrailSpace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fontTable" Target="fontTable.xml"/>
	<Relationship Id="rId3" Type="http://schemas.openxmlformats.org/officeDocument/2006/relationships/theme" Target="theme/theme1.xml"/>
	<Relationship Id="rId4" Type="http://schemas.openxmlformats.org/officeDocument/2006/relationships/settings" Target="settings.xml"/>
	<Relationship Id="rId5" Type="http://schemas.openxmlformats.org/officeDocument/2006/relationships/webSettings" Target="webSettings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Application>Microsoft Office Word</Application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